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</w:t>
      </w:r>
      <w:r w:rsidRPr="00D921FB" w:rsidR="008E2340">
        <w:rPr>
          <w:b w:val="0"/>
          <w:color w:val="000099"/>
        </w:rPr>
        <w:t>237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D921F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Pr="00D921FB" w:rsidR="008E2340">
        <w:rPr>
          <w:b w:val="0"/>
          <w:color w:val="000099"/>
        </w:rPr>
        <w:t>9098-02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</w:t>
      </w:r>
      <w:r w:rsidRPr="00D921FB" w:rsidR="008E2340">
        <w:rPr>
          <w:b w:val="0"/>
          <w:color w:val="000080"/>
          <w:sz w:val="26"/>
          <w:szCs w:val="26"/>
        </w:rPr>
        <w:t>5</w:t>
      </w:r>
      <w:r>
        <w:rPr>
          <w:b w:val="0"/>
          <w:color w:val="000080"/>
          <w:sz w:val="26"/>
          <w:szCs w:val="26"/>
        </w:rPr>
        <w:t xml:space="preserve"> ок</w:t>
      </w:r>
      <w:r w:rsidR="001F13C9">
        <w:rPr>
          <w:b w:val="0"/>
          <w:color w:val="000080"/>
          <w:sz w:val="26"/>
          <w:szCs w:val="26"/>
        </w:rPr>
        <w:t>тября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Гулуева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Руслана </w:t>
      </w:r>
      <w:r>
        <w:rPr>
          <w:rFonts w:ascii="Times New Roman" w:hAnsi="Times New Roman" w:cs="Times New Roman"/>
          <w:color w:val="000099"/>
          <w:sz w:val="26"/>
          <w:szCs w:val="26"/>
        </w:rPr>
        <w:t>Садраддиновича</w:t>
      </w:r>
      <w:r w:rsidRPr="00DB62F5" w:rsidR="00DB62F5">
        <w:rPr>
          <w:color w:val="000099"/>
          <w:sz w:val="28"/>
          <w:szCs w:val="28"/>
        </w:rPr>
        <w:t>&lt;&lt;</w:t>
      </w:r>
      <w:r w:rsidR="00DB62F5">
        <w:rPr>
          <w:color w:val="000099"/>
          <w:sz w:val="28"/>
          <w:szCs w:val="28"/>
        </w:rPr>
        <w:t>***</w:t>
      </w:r>
      <w:r w:rsidRPr="00DB62F5" w:rsidR="00DB62F5">
        <w:rPr>
          <w:color w:val="000099"/>
          <w:sz w:val="28"/>
          <w:szCs w:val="28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14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13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57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99"/>
          <w:sz w:val="26"/>
          <w:szCs w:val="26"/>
        </w:rPr>
        <w:t>Нефтеюганскому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шоссе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37/5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Гулуев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Р.С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DB62F5" w:rsidR="00DB62F5">
        <w:rPr>
          <w:color w:val="000099"/>
          <w:sz w:val="28"/>
          <w:szCs w:val="28"/>
        </w:rPr>
        <w:t>&lt;&lt;</w:t>
      </w:r>
      <w:r w:rsidR="00DB62F5">
        <w:rPr>
          <w:color w:val="000099"/>
          <w:sz w:val="28"/>
          <w:szCs w:val="28"/>
        </w:rPr>
        <w:t>***</w:t>
      </w:r>
      <w:r w:rsidRPr="00DB62F5" w:rsidR="00DB62F5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DB62F5" w:rsidR="00DB62F5">
        <w:rPr>
          <w:color w:val="000099"/>
          <w:sz w:val="28"/>
          <w:szCs w:val="28"/>
        </w:rPr>
        <w:t>&lt;&lt;</w:t>
      </w:r>
      <w:r w:rsidR="00DB62F5">
        <w:rPr>
          <w:color w:val="000099"/>
          <w:sz w:val="28"/>
          <w:szCs w:val="28"/>
        </w:rPr>
        <w:t>***</w:t>
      </w:r>
      <w:r w:rsidRPr="00DB62F5" w:rsidR="00DB62F5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справка инспектора ИАЗ ОБДПС ГАИ, из которой следует, что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Гулуев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Р.С. водительское удостоверение не сдал, с заявление об утрате не обращался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19185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мирового судьи судебного участка №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 xml:space="preserve">Сургутского судебного района города окружного значения Сургута 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27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19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, согласно которо</w:t>
      </w:r>
      <w:r w:rsidRPr="00E25FDA" w:rsidR="00823817">
        <w:rPr>
          <w:rFonts w:ascii="Times New Roman" w:hAnsi="Times New Roman" w:cs="Times New Roman"/>
          <w:color w:val="000099"/>
          <w:sz w:val="26"/>
          <w:szCs w:val="26"/>
        </w:rPr>
        <w:t xml:space="preserve">го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лицо, привлекаемое к административной ответственности,</w:t>
      </w:r>
      <w:r w:rsidRPr="00E25FDA" w:rsidR="007256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лишен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права управления транспортными средствами на срок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 w:rsidR="00FA01CA"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шест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>ь месяцев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П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30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сентября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20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19</w:t>
      </w:r>
      <w:r w:rsidRPr="00E25FDA" w:rsidR="00067ACA">
        <w:rPr>
          <w:rFonts w:ascii="Times New Roman" w:hAnsi="Times New Roman" w:cs="Times New Roman"/>
          <w:color w:val="000099"/>
          <w:sz w:val="26"/>
          <w:szCs w:val="26"/>
        </w:rPr>
        <w:t xml:space="preserve"> года;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8E2340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Гулуева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Руслана 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Садраддиновича</w:t>
      </w:r>
      <w:r w:rsidRPr="00E25FDA" w:rsidR="008E2340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D921FB" w:rsidRPr="00D921FB" w:rsidP="00D921F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Гулуева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Руслана </w:t>
      </w:r>
      <w:r>
        <w:rPr>
          <w:rFonts w:ascii="Times New Roman" w:hAnsi="Times New Roman" w:cs="Times New Roman"/>
          <w:color w:val="000099"/>
          <w:sz w:val="26"/>
          <w:szCs w:val="26"/>
        </w:rPr>
        <w:t>Садраддиновича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D921FB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D921FB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514F16" w:rsidRPr="00E25FDA" w:rsidP="00D921F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1FB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21FB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>15 октября</w:t>
      </w:r>
      <w:r w:rsidRPr="00D921FB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D921FB" w:rsidP="000413E3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2F5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F5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21FB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62F5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D9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921F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26E37-59CE-422F-ADFC-CB3037F1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